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222222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222222"/>
          <w:sz w:val="28"/>
          <w:szCs w:val="28"/>
          <w:lang w:eastAsia="ru-RU"/>
        </w:rPr>
        <w:t>Інформація</w:t>
      </w:r>
      <w:r>
        <w:rPr>
          <w:rFonts w:eastAsia="Times New Roman" w:cs="Times New Roman" w:ascii="Times New Roman" w:hAnsi="Times New Roman"/>
          <w:b/>
          <w:bCs/>
          <w:color w:val="222222"/>
          <w:sz w:val="24"/>
          <w:szCs w:val="24"/>
          <w:lang w:eastAsia="ru-RU"/>
        </w:rPr>
        <w:t xml:space="preserve">  </w:t>
      </w:r>
      <w:r>
        <w:rPr>
          <w:rFonts w:eastAsia="Times New Roman" w:cs="Times New Roman" w:ascii="Times New Roman" w:hAnsi="Times New Roman"/>
          <w:b/>
          <w:bCs/>
          <w:color w:val="222222"/>
          <w:sz w:val="28"/>
          <w:szCs w:val="28"/>
          <w:lang w:eastAsia="ru-RU"/>
        </w:rPr>
        <w:t xml:space="preserve">про загальну кількість акцій та голосуючих акцій  </w:t>
      </w:r>
      <w:r>
        <w:rPr>
          <w:rFonts w:eastAsia="Times New Roman" w:cs="Times New Roman" w:ascii="Times New Roman" w:hAnsi="Times New Roman"/>
          <w:b/>
          <w:bCs/>
          <w:color w:val="222222"/>
          <w:sz w:val="28"/>
          <w:szCs w:val="28"/>
          <w:lang w:val="uk-UA" w:eastAsia="ru-RU"/>
        </w:rPr>
        <w:t xml:space="preserve">ПрАТ “Об’єднання “Прогрес” </w:t>
      </w:r>
      <w:r>
        <w:rPr>
          <w:rFonts w:eastAsia="Times New Roman" w:cs="Times New Roman" w:ascii="Times New Roman" w:hAnsi="Times New Roman"/>
          <w:b/>
          <w:bCs/>
          <w:color w:val="222222"/>
          <w:sz w:val="28"/>
          <w:szCs w:val="28"/>
          <w:lang w:eastAsia="ru-RU"/>
        </w:rPr>
        <w:t>станом на дату складання переліку осіб, які мають право на участь у загальних зборах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222222"/>
          <w:sz w:val="24"/>
          <w:szCs w:val="24"/>
          <w:lang w:eastAsia="ru-RU"/>
        </w:rPr>
      </w:pPr>
      <w:r>
        <w:rPr/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b w:val="false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222222"/>
          <w:sz w:val="24"/>
          <w:szCs w:val="24"/>
          <w:lang w:eastAsia="ru-RU"/>
        </w:rPr>
        <w:tab/>
        <w:t>Загальна кількість акцій - </w:t>
      </w:r>
      <w:r>
        <w:rPr>
          <w:rFonts w:eastAsia="Times New Roman" w:cs="Times New Roman" w:ascii="Times New Roman" w:hAnsi="Times New Roman"/>
          <w:b w:val="false"/>
          <w:bCs w:val="false"/>
          <w:color w:val="222222"/>
          <w:sz w:val="24"/>
          <w:szCs w:val="24"/>
          <w:lang w:val="uk-UA" w:eastAsia="ru-RU"/>
        </w:rPr>
        <w:t xml:space="preserve">44284 </w:t>
      </w:r>
      <w:r>
        <w:rPr>
          <w:rFonts w:eastAsia="Times New Roman" w:cs="Times New Roman" w:ascii="Times New Roman" w:hAnsi="Times New Roman"/>
          <w:b w:val="false"/>
          <w:bCs w:val="false"/>
          <w:color w:val="222222"/>
          <w:sz w:val="24"/>
          <w:szCs w:val="24"/>
          <w:lang w:eastAsia="ru-RU"/>
        </w:rPr>
        <w:t>простих іменних акцій 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eastAsia="ru-RU"/>
        </w:rPr>
        <w:t>на дату складання переліку акціонерів, які мають право на участь у загальних зборах </w:t>
      </w:r>
      <w:r>
        <w:rPr>
          <w:rFonts w:eastAsia="Times New Roman" w:cs="Times New Roman" w:ascii="Times New Roman" w:hAnsi="Times New Roman"/>
          <w:b w:val="false"/>
          <w:bCs w:val="false"/>
          <w:color w:val="222222"/>
          <w:sz w:val="24"/>
          <w:szCs w:val="24"/>
          <w:lang w:eastAsia="ru-RU"/>
        </w:rPr>
        <w:t xml:space="preserve">станом на </w:t>
      </w:r>
      <w:r>
        <w:rPr>
          <w:rFonts w:eastAsia="Times New Roman" w:cs="Times New Roman" w:ascii="Times New Roman" w:hAnsi="Times New Roman"/>
          <w:b w:val="false"/>
          <w:bCs w:val="false"/>
          <w:color w:val="222222"/>
          <w:sz w:val="24"/>
          <w:szCs w:val="24"/>
          <w:lang w:val="uk-UA" w:eastAsia="ru-RU"/>
        </w:rPr>
        <w:t>12</w:t>
      </w:r>
      <w:r>
        <w:rPr>
          <w:rFonts w:eastAsia="Times New Roman" w:cs="Times New Roman" w:ascii="Times New Roman" w:hAnsi="Times New Roman"/>
          <w:b w:val="false"/>
          <w:bCs w:val="false"/>
          <w:color w:val="222222"/>
          <w:sz w:val="24"/>
          <w:szCs w:val="24"/>
          <w:lang w:eastAsia="ru-RU"/>
        </w:rPr>
        <w:t>.0</w:t>
      </w:r>
      <w:r>
        <w:rPr>
          <w:rFonts w:eastAsia="Times New Roman" w:cs="Times New Roman" w:ascii="Times New Roman" w:hAnsi="Times New Roman"/>
          <w:b w:val="false"/>
          <w:bCs w:val="false"/>
          <w:color w:val="222222"/>
          <w:sz w:val="24"/>
          <w:szCs w:val="24"/>
          <w:lang w:val="uk-UA" w:eastAsia="ru-RU"/>
        </w:rPr>
        <w:t>4</w:t>
      </w:r>
      <w:r>
        <w:rPr>
          <w:rFonts w:eastAsia="Times New Roman" w:cs="Times New Roman" w:ascii="Times New Roman" w:hAnsi="Times New Roman"/>
          <w:b w:val="false"/>
          <w:bCs w:val="false"/>
          <w:color w:val="222222"/>
          <w:sz w:val="24"/>
          <w:szCs w:val="24"/>
          <w:lang w:eastAsia="ru-RU"/>
        </w:rPr>
        <w:t>.202</w:t>
      </w:r>
      <w:r>
        <w:rPr>
          <w:rFonts w:eastAsia="Times New Roman" w:cs="Times New Roman" w:ascii="Times New Roman" w:hAnsi="Times New Roman"/>
          <w:b w:val="false"/>
          <w:bCs w:val="false"/>
          <w:color w:val="222222"/>
          <w:sz w:val="24"/>
          <w:szCs w:val="24"/>
          <w:lang w:val="uk-UA" w:eastAsia="ru-RU"/>
        </w:rPr>
        <w:t>1</w:t>
      </w:r>
      <w:r>
        <w:rPr>
          <w:rFonts w:eastAsia="Times New Roman" w:cs="Times New Roman" w:ascii="Times New Roman" w:hAnsi="Times New Roman"/>
          <w:b w:val="false"/>
          <w:bCs w:val="false"/>
          <w:color w:val="222222"/>
          <w:sz w:val="24"/>
          <w:szCs w:val="24"/>
          <w:lang w:eastAsia="ru-RU"/>
        </w:rPr>
        <w:t>р.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Times New Roman" w:hAnsi="Times New Roman" w:eastAsia="Times New Roman" w:cs="Times New Roman"/>
          <w:color w:val="222222"/>
          <w:lang w:val="uk-UA" w:eastAsia="ru-RU"/>
        </w:rPr>
      </w:pPr>
      <w:r>
        <w:rPr>
          <w:b w:val="false"/>
          <w:bCs w:val="false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b w:val="false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222222"/>
          <w:sz w:val="24"/>
          <w:szCs w:val="24"/>
          <w:lang w:eastAsia="ru-RU"/>
        </w:rPr>
        <w:tab/>
        <w:t>Загальна кількість голосуючих акцій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eastAsia="ru-RU"/>
        </w:rPr>
        <w:t> - </w:t>
      </w:r>
      <w:r>
        <w:rPr>
          <w:rFonts w:eastAsia="Times New Roman" w:cs="Times New Roman" w:ascii="Times New Roman" w:hAnsi="Times New Roman"/>
          <w:b w:val="false"/>
          <w:bCs w:val="false"/>
          <w:color w:val="222222"/>
          <w:sz w:val="24"/>
          <w:szCs w:val="24"/>
          <w:lang w:val="uk-UA" w:eastAsia="ru-RU"/>
        </w:rPr>
        <w:t>39493</w:t>
      </w:r>
      <w:r>
        <w:rPr>
          <w:rFonts w:eastAsia="Times New Roman" w:cs="Times New Roman" w:ascii="Times New Roman" w:hAnsi="Times New Roman"/>
          <w:b w:val="false"/>
          <w:bCs w:val="false"/>
          <w:color w:val="222222"/>
          <w:sz w:val="24"/>
          <w:szCs w:val="24"/>
          <w:lang w:eastAsia="ru-RU"/>
        </w:rPr>
        <w:t> простих іменних акцій 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eastAsia="ru-RU"/>
        </w:rPr>
        <w:t>на дату складання переліку акціонерів, які мають право на участь у загальних зборах</w:t>
      </w:r>
      <w:r>
        <w:rPr>
          <w:rFonts w:eastAsia="Times New Roman" w:cs="Times New Roman" w:ascii="Times New Roman" w:hAnsi="Times New Roman"/>
          <w:b w:val="false"/>
          <w:bCs w:val="false"/>
          <w:color w:val="222222"/>
          <w:sz w:val="24"/>
          <w:szCs w:val="24"/>
          <w:lang w:eastAsia="ru-RU"/>
        </w:rPr>
        <w:t xml:space="preserve"> станом на </w:t>
      </w:r>
      <w:r>
        <w:rPr>
          <w:rFonts w:eastAsia="Times New Roman" w:cs="Times New Roman" w:ascii="Times New Roman" w:hAnsi="Times New Roman"/>
          <w:b w:val="false"/>
          <w:bCs w:val="false"/>
          <w:color w:val="222222"/>
          <w:sz w:val="24"/>
          <w:szCs w:val="24"/>
          <w:lang w:val="uk-UA" w:eastAsia="ru-RU"/>
        </w:rPr>
        <w:t>12</w:t>
      </w:r>
      <w:r>
        <w:rPr>
          <w:rFonts w:eastAsia="Times New Roman" w:cs="Times New Roman" w:ascii="Times New Roman" w:hAnsi="Times New Roman"/>
          <w:b w:val="false"/>
          <w:bCs w:val="false"/>
          <w:color w:val="222222"/>
          <w:sz w:val="24"/>
          <w:szCs w:val="24"/>
          <w:lang w:eastAsia="ru-RU"/>
        </w:rPr>
        <w:t>.0</w:t>
      </w:r>
      <w:r>
        <w:rPr>
          <w:rFonts w:eastAsia="Times New Roman" w:cs="Times New Roman" w:ascii="Times New Roman" w:hAnsi="Times New Roman"/>
          <w:b w:val="false"/>
          <w:bCs w:val="false"/>
          <w:color w:val="222222"/>
          <w:sz w:val="24"/>
          <w:szCs w:val="24"/>
          <w:lang w:val="uk-UA" w:eastAsia="ru-RU"/>
        </w:rPr>
        <w:t>4</w:t>
      </w:r>
      <w:r>
        <w:rPr>
          <w:rFonts w:eastAsia="Times New Roman" w:cs="Times New Roman" w:ascii="Times New Roman" w:hAnsi="Times New Roman"/>
          <w:b w:val="false"/>
          <w:bCs w:val="false"/>
          <w:color w:val="222222"/>
          <w:sz w:val="24"/>
          <w:szCs w:val="24"/>
          <w:lang w:eastAsia="ru-RU"/>
        </w:rPr>
        <w:t>.202</w:t>
      </w:r>
      <w:r>
        <w:rPr>
          <w:rFonts w:eastAsia="Times New Roman" w:cs="Times New Roman" w:ascii="Times New Roman" w:hAnsi="Times New Roman"/>
          <w:b w:val="false"/>
          <w:bCs w:val="false"/>
          <w:color w:val="222222"/>
          <w:sz w:val="24"/>
          <w:szCs w:val="24"/>
          <w:lang w:val="uk-UA" w:eastAsia="ru-RU"/>
        </w:rPr>
        <w:t>1</w:t>
      </w:r>
      <w:r>
        <w:rPr>
          <w:rFonts w:eastAsia="Times New Roman" w:cs="Times New Roman" w:ascii="Times New Roman" w:hAnsi="Times New Roman"/>
          <w:b w:val="false"/>
          <w:bCs w:val="false"/>
          <w:color w:val="222222"/>
          <w:sz w:val="24"/>
          <w:szCs w:val="24"/>
          <w:lang w:eastAsia="ru-RU"/>
        </w:rPr>
        <w:t>р.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Times New Roman" w:hAnsi="Times New Roman" w:eastAsia="Times New Roman" w:cs="Times New Roman"/>
          <w:color w:val="222222"/>
          <w:lang w:eastAsia="ru-RU"/>
        </w:rPr>
      </w:pPr>
      <w:r>
        <w:rPr>
          <w:b w:val="false"/>
          <w:bCs w:val="false"/>
          <w:sz w:val="24"/>
          <w:szCs w:val="24"/>
        </w:rPr>
      </w:r>
    </w:p>
    <w:p>
      <w:pPr>
        <w:pStyle w:val="Style15"/>
        <w:widowControl/>
        <w:shd w:val="clear" w:color="auto" w:fill="FFFFFF"/>
        <w:spacing w:lineRule="auto" w:line="240" w:before="0" w:after="150"/>
        <w:ind w:left="0" w:right="0" w:hanging="0"/>
        <w:jc w:val="both"/>
        <w:rPr>
          <w:b w:val="false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color w:val="222222"/>
          <w:spacing w:val="0"/>
          <w:sz w:val="24"/>
          <w:szCs w:val="24"/>
          <w:lang w:val="uk-UA" w:eastAsia="ru-RU"/>
        </w:rPr>
        <w:tab/>
        <w:t xml:space="preserve">ПрАТ “Об’єднання “Прогрес”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color w:val="333333"/>
          <w:spacing w:val="0"/>
          <w:sz w:val="24"/>
          <w:szCs w:val="24"/>
          <w:lang w:eastAsia="ru-RU"/>
        </w:rPr>
        <w:t xml:space="preserve">не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color w:val="333333"/>
          <w:spacing w:val="0"/>
          <w:sz w:val="24"/>
          <w:szCs w:val="24"/>
          <w:lang w:val="uk-UA" w:eastAsia="ru-RU"/>
        </w:rPr>
        <w:t>здійснюва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color w:val="333333"/>
          <w:spacing w:val="0"/>
          <w:sz w:val="24"/>
          <w:szCs w:val="24"/>
          <w:lang w:val="uk-UA" w:eastAsia="ru-RU"/>
        </w:rPr>
        <w:t>ло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color w:val="333333"/>
          <w:spacing w:val="0"/>
          <w:sz w:val="24"/>
          <w:szCs w:val="24"/>
          <w:lang w:eastAsia="ru-RU"/>
        </w:rPr>
        <w:t xml:space="preserve"> випуск привілейованих акцій.</w:t>
      </w:r>
    </w:p>
    <w:sectPr>
      <w:type w:val="nextPage"/>
      <w:pgSz w:w="11906" w:h="16838"/>
      <w:pgMar w:left="1134" w:right="1134" w:header="0" w:top="850" w:footer="0" w:bottom="170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Application>LibreOffice/7.0.2.2$Windows_X86_64 LibreOffice_project/8349ace3c3162073abd90d81fd06dcfb6b36b994</Application>
  <Pages>1</Pages>
  <Words>82</Words>
  <Characters>496</Characters>
  <CharactersWithSpaces>579</CharactersWithSpaces>
  <Paragraphs>4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2020-03-16T09:56:00Z</dcterms:created>
  <dc:creator>Master</dc:creator>
  <dc:description/>
  <dc:language>uk-UA</dc:language>
  <cp:lastModifiedBy/>
  <dcterms:modified xsi:type="dcterms:W3CDTF">2021-04-15T21:41:26Z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